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FE" w:rsidRDefault="00862DFE" w:rsidP="00862DFE">
      <w:pPr>
        <w:ind w:left="-600" w:right="3" w:firstLine="480"/>
        <w:jc w:val="both"/>
        <w:rPr>
          <w:lang w:val="ru-RU"/>
        </w:rPr>
      </w:pPr>
      <w:r>
        <w:tab/>
        <w:t>Основната роля на Държавната агенция за закрила на детето е да разработва и координира държавната политика за закрила на детето и да развива механизми за гарантиране правата на всяко дете, чрез извършване на постоянен мониторинг на прогреса и разработване на нови стандарти за прилагане на принципите, залегнали в Конвенцията за правата на детето на ООН. Тези усилия способстват за изпълнение на непосредствено насочени към децата дейности, които да гарантират спазването на техните права.</w:t>
      </w:r>
      <w:r>
        <w:rPr>
          <w:lang w:val="ru-RU"/>
        </w:rPr>
        <w:t xml:space="preserve"> </w:t>
      </w:r>
    </w:p>
    <w:p w:rsidR="00862DFE" w:rsidRDefault="00862DFE" w:rsidP="00862DFE">
      <w:pPr>
        <w:ind w:left="-600" w:right="3" w:firstLine="480"/>
        <w:jc w:val="both"/>
        <w:rPr>
          <w:lang w:val="ru-RU"/>
        </w:rPr>
      </w:pPr>
    </w:p>
    <w:p w:rsidR="00862DFE" w:rsidRDefault="00862DFE" w:rsidP="00862DFE">
      <w:pPr>
        <w:ind w:left="-600" w:right="3" w:firstLine="600"/>
        <w:jc w:val="both"/>
        <w:rPr>
          <w:lang w:val="ru-RU"/>
        </w:rPr>
      </w:pPr>
      <w:proofErr w:type="spellStart"/>
      <w:r>
        <w:rPr>
          <w:lang w:val="ru-RU"/>
        </w:rPr>
        <w:t>Държавната</w:t>
      </w:r>
      <w:proofErr w:type="spellEnd"/>
      <w:r>
        <w:rPr>
          <w:lang w:val="ru-RU"/>
        </w:rPr>
        <w:t xml:space="preserve"> политика за </w:t>
      </w:r>
      <w:proofErr w:type="spellStart"/>
      <w:r>
        <w:rPr>
          <w:lang w:val="ru-RU"/>
        </w:rPr>
        <w:t>закрила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осъществява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въз</w:t>
      </w:r>
      <w:proofErr w:type="spellEnd"/>
      <w:r>
        <w:rPr>
          <w:lang w:val="ru-RU"/>
        </w:rPr>
        <w:t xml:space="preserve"> основа на </w:t>
      </w:r>
      <w:proofErr w:type="spellStart"/>
      <w:r>
        <w:rPr>
          <w:lang w:val="ru-RU"/>
        </w:rPr>
        <w:t>приетата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Народното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събрание</w:t>
      </w:r>
      <w:proofErr w:type="spellEnd"/>
      <w:r>
        <w:rPr>
          <w:lang w:val="ru-RU"/>
        </w:rPr>
        <w:t xml:space="preserve"> на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България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Национална</w:t>
      </w:r>
      <w:proofErr w:type="spellEnd"/>
      <w:r>
        <w:rPr>
          <w:lang w:val="ru-RU"/>
        </w:rPr>
        <w:t xml:space="preserve"> стратегия за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 xml:space="preserve"> 2008 – 2018 г., </w:t>
      </w:r>
      <w:proofErr w:type="spellStart"/>
      <w:r>
        <w:rPr>
          <w:lang w:val="ru-RU"/>
        </w:rPr>
        <w:t>изградена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върху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принципите</w:t>
      </w:r>
      <w:proofErr w:type="spellEnd"/>
      <w:r>
        <w:rPr>
          <w:lang w:val="ru-RU"/>
        </w:rPr>
        <w:t xml:space="preserve"> на Закона за </w:t>
      </w:r>
      <w:proofErr w:type="spellStart"/>
      <w:r>
        <w:rPr>
          <w:lang w:val="ru-RU"/>
        </w:rPr>
        <w:t>закрила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Стратегията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дефинира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направленията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правителствената</w:t>
      </w:r>
      <w:proofErr w:type="spellEnd"/>
      <w:r>
        <w:rPr>
          <w:lang w:val="ru-RU"/>
        </w:rPr>
        <w:t xml:space="preserve"> политика в </w:t>
      </w:r>
      <w:proofErr w:type="spellStart"/>
      <w:r>
        <w:rPr>
          <w:lang w:val="ru-RU"/>
        </w:rPr>
        <w:t>дългосрочен</w:t>
      </w:r>
      <w:proofErr w:type="spellEnd"/>
      <w:r>
        <w:rPr>
          <w:lang w:val="ru-RU"/>
        </w:rPr>
        <w:t xml:space="preserve"> план и служи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отправна</w:t>
      </w:r>
      <w:proofErr w:type="spellEnd"/>
      <w:r>
        <w:rPr>
          <w:lang w:val="ru-RU"/>
        </w:rPr>
        <w:t xml:space="preserve"> точка при </w:t>
      </w:r>
      <w:proofErr w:type="spellStart"/>
      <w:r>
        <w:rPr>
          <w:lang w:val="ru-RU"/>
        </w:rPr>
        <w:t>определянето</w:t>
      </w:r>
      <w:proofErr w:type="spellEnd"/>
      <w:r>
        <w:rPr>
          <w:lang w:val="ru-RU"/>
        </w:rPr>
        <w:t xml:space="preserve"> на  </w:t>
      </w:r>
      <w:proofErr w:type="spellStart"/>
      <w:r>
        <w:rPr>
          <w:lang w:val="ru-RU"/>
        </w:rPr>
        <w:t>конкретните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приоритетни</w:t>
      </w:r>
      <w:proofErr w:type="spellEnd"/>
      <w:r>
        <w:rPr>
          <w:lang w:val="ru-RU"/>
        </w:rPr>
        <w:t xml:space="preserve"> области, </w:t>
      </w:r>
      <w:proofErr w:type="spellStart"/>
      <w:r>
        <w:rPr>
          <w:lang w:val="ru-RU"/>
        </w:rPr>
        <w:t>отразени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ежегодните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Национални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закрила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които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приемат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Министерския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съвет</w:t>
      </w:r>
      <w:proofErr w:type="spellEnd"/>
      <w:r>
        <w:rPr>
          <w:lang w:val="ru-RU"/>
        </w:rPr>
        <w:t xml:space="preserve"> на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България</w:t>
      </w:r>
      <w:proofErr w:type="spellEnd"/>
      <w:r>
        <w:rPr>
          <w:lang w:val="ru-RU"/>
        </w:rPr>
        <w:t>.</w:t>
      </w:r>
    </w:p>
    <w:p w:rsidR="00862DFE" w:rsidRDefault="00862DFE" w:rsidP="00862DFE">
      <w:pPr>
        <w:ind w:left="-600" w:right="3" w:firstLine="480"/>
        <w:jc w:val="both"/>
        <w:rPr>
          <w:lang w:val="ru-RU"/>
        </w:rPr>
      </w:pPr>
    </w:p>
    <w:p w:rsidR="00862DFE" w:rsidRDefault="00862DFE" w:rsidP="00862DFE">
      <w:pPr>
        <w:ind w:left="-600" w:right="3" w:firstLine="480"/>
        <w:jc w:val="both"/>
      </w:pPr>
      <w:proofErr w:type="spellStart"/>
      <w:r>
        <w:rPr>
          <w:lang w:val="ru-RU"/>
        </w:rPr>
        <w:t>Тези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документи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основават</w:t>
      </w:r>
      <w:proofErr w:type="spellEnd"/>
      <w:r>
        <w:rPr>
          <w:lang w:val="ru-RU"/>
        </w:rPr>
        <w:t xml:space="preserve"> на принципа за </w:t>
      </w:r>
      <w:proofErr w:type="spellStart"/>
      <w:r>
        <w:rPr>
          <w:lang w:val="ru-RU"/>
        </w:rPr>
        <w:t>осигуряване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висшите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интереси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 xml:space="preserve"> и за </w:t>
      </w:r>
      <w:proofErr w:type="spellStart"/>
      <w:r>
        <w:rPr>
          <w:lang w:val="ru-RU"/>
        </w:rPr>
        <w:t>спазване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правата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всички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деца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България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обединяват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усилията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всички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ангажирани</w:t>
      </w:r>
      <w:proofErr w:type="spellEnd"/>
      <w:r>
        <w:rPr>
          <w:lang w:val="ru-RU"/>
        </w:rPr>
        <w:t xml:space="preserve"> институции </w:t>
      </w:r>
      <w:proofErr w:type="gramStart"/>
      <w:r>
        <w:rPr>
          <w:lang w:val="ru-RU"/>
        </w:rPr>
        <w:t>при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планирането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изпълнението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дейностите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закрила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>.</w:t>
      </w:r>
    </w:p>
    <w:p w:rsidR="00862DFE" w:rsidRDefault="00862DFE" w:rsidP="00862DFE">
      <w:pPr>
        <w:ind w:left="-600" w:right="3" w:firstLine="480"/>
        <w:jc w:val="both"/>
      </w:pPr>
    </w:p>
    <w:p w:rsidR="00862DFE" w:rsidRDefault="00862DFE" w:rsidP="00862DFE">
      <w:pPr>
        <w:ind w:left="-600" w:right="3" w:firstLine="480"/>
        <w:jc w:val="both"/>
        <w:rPr>
          <w:bCs/>
          <w:sz w:val="28"/>
          <w:szCs w:val="28"/>
        </w:rPr>
      </w:pPr>
      <w:r>
        <w:t>Основните приоритети в политиката за закрила на децата, залегнали в Национална програма за закрила на детето за 200</w:t>
      </w:r>
      <w:r>
        <w:rPr>
          <w:lang w:val="en-US"/>
        </w:rPr>
        <w:t>8</w:t>
      </w:r>
      <w:r>
        <w:t xml:space="preserve"> г., по които работи Държавната агенция за закрила на детето (ДАЗД), са:</w:t>
      </w:r>
      <w:r>
        <w:rPr>
          <w:bCs/>
          <w:sz w:val="28"/>
          <w:szCs w:val="28"/>
        </w:rPr>
        <w:t xml:space="preserve"> </w:t>
      </w:r>
    </w:p>
    <w:p w:rsidR="00862DFE" w:rsidRDefault="00862DFE" w:rsidP="00862DFE">
      <w:pPr>
        <w:ind w:left="-600" w:right="3" w:firstLine="480"/>
        <w:jc w:val="both"/>
        <w:rPr>
          <w:bCs/>
          <w:sz w:val="28"/>
          <w:szCs w:val="28"/>
        </w:rPr>
      </w:pPr>
    </w:p>
    <w:p w:rsidR="00862DFE" w:rsidRDefault="00862DFE" w:rsidP="00862DFE">
      <w:pPr>
        <w:numPr>
          <w:ilvl w:val="0"/>
          <w:numId w:val="1"/>
        </w:numPr>
        <w:ind w:right="3"/>
        <w:jc w:val="both"/>
        <w:rPr>
          <w:color w:val="000000"/>
          <w:spacing w:val="-1"/>
        </w:rPr>
      </w:pPr>
      <w:r>
        <w:rPr>
          <w:szCs w:val="28"/>
        </w:rPr>
        <w:t>Намаляване на детската бедност и създаване на условия за социално включване на децата</w:t>
      </w:r>
      <w:r>
        <w:rPr>
          <w:color w:val="000000"/>
          <w:spacing w:val="-1"/>
        </w:rPr>
        <w:t xml:space="preserve"> </w:t>
      </w:r>
    </w:p>
    <w:p w:rsidR="00862DFE" w:rsidRDefault="00862DFE" w:rsidP="00862DFE">
      <w:pPr>
        <w:numPr>
          <w:ilvl w:val="0"/>
          <w:numId w:val="1"/>
        </w:numPr>
        <w:ind w:right="3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Осигуряване на равен достъп до качествена предучилищна подготовка и училищно образование на всички деца </w:t>
      </w:r>
    </w:p>
    <w:p w:rsidR="00862DFE" w:rsidRDefault="00862DFE" w:rsidP="00862DFE">
      <w:pPr>
        <w:numPr>
          <w:ilvl w:val="0"/>
          <w:numId w:val="1"/>
        </w:numPr>
        <w:ind w:right="3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Подобряване здравето на децата </w:t>
      </w:r>
    </w:p>
    <w:p w:rsidR="00862DFE" w:rsidRDefault="00862DFE" w:rsidP="00862DFE">
      <w:pPr>
        <w:numPr>
          <w:ilvl w:val="0"/>
          <w:numId w:val="1"/>
        </w:numPr>
        <w:ind w:right="3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Защита на децата от всякакви форми на злоупотреба, насилие и експлоатация </w:t>
      </w:r>
    </w:p>
    <w:p w:rsidR="00862DFE" w:rsidRDefault="00862DFE" w:rsidP="00862DFE">
      <w:pPr>
        <w:numPr>
          <w:ilvl w:val="0"/>
          <w:numId w:val="1"/>
        </w:numPr>
        <w:ind w:right="3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Насърчаване участието на децата </w:t>
      </w:r>
    </w:p>
    <w:p w:rsidR="00862DFE" w:rsidRDefault="00862DFE" w:rsidP="00862DFE">
      <w:pPr>
        <w:numPr>
          <w:ilvl w:val="0"/>
          <w:numId w:val="1"/>
        </w:numPr>
        <w:ind w:right="3"/>
        <w:jc w:val="both"/>
      </w:pPr>
      <w:r>
        <w:rPr>
          <w:color w:val="000000"/>
          <w:spacing w:val="-1"/>
        </w:rPr>
        <w:t xml:space="preserve">Отдих, свободно време и развитие способностите на детето </w:t>
      </w:r>
    </w:p>
    <w:p w:rsidR="00862DFE" w:rsidRDefault="00862DFE" w:rsidP="00862DFE">
      <w:pPr>
        <w:numPr>
          <w:ilvl w:val="0"/>
          <w:numId w:val="1"/>
        </w:numPr>
        <w:ind w:right="3"/>
        <w:jc w:val="both"/>
      </w:pPr>
      <w:r>
        <w:rPr>
          <w:color w:val="000000"/>
          <w:spacing w:val="-1"/>
        </w:rPr>
        <w:t>Поддържане на национална информационна система в областта на закрилата на детето</w:t>
      </w:r>
    </w:p>
    <w:p w:rsidR="00862DFE" w:rsidRDefault="00862DFE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9C4BB9" w:rsidRDefault="009C4BB9" w:rsidP="00862DFE">
      <w:pPr>
        <w:ind w:left="-600" w:right="3" w:firstLine="480"/>
        <w:jc w:val="both"/>
      </w:pPr>
    </w:p>
    <w:p w:rsidR="00862DFE" w:rsidRDefault="009C4BB9" w:rsidP="00862DFE">
      <w:pPr>
        <w:ind w:left="-600" w:right="3" w:firstLine="480"/>
        <w:jc w:val="both"/>
      </w:pPr>
      <w:r>
        <w:lastRenderedPageBreak/>
        <w:t xml:space="preserve">      </w:t>
      </w:r>
      <w:proofErr w:type="spellStart"/>
      <w:r>
        <w:t>Svedska</w:t>
      </w:r>
      <w:proofErr w:type="spellEnd"/>
    </w:p>
    <w:p w:rsidR="00862DFE" w:rsidRDefault="00862DFE" w:rsidP="00862DFE">
      <w:pPr>
        <w:ind w:left="-600" w:right="3" w:firstLine="480"/>
        <w:jc w:val="both"/>
      </w:pP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Съществуват три документа с ранг на конституция в шведската правна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система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които уреждат правата на човека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Това са Акт за свободата на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пресата от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1949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Акт за свободата на изразяване от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1991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и Форма на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управление от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1974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Първите два уреждат съответно писаните и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електронните медии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Глава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II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от Формата на управление урежда всички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останали права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Уредбата е различна с тази на ЕКПЧ при много от правата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Не е уредено правото на личен живот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Дискриминацията по полов и расов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признак е различна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Тук са изброени изчерпателно случаите на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дискриминация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Има различен режим за защита правата на чужденците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Швеция подписва ЕКПЧ на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28.11.1950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и я ратифицира на </w:t>
      </w:r>
      <w:r w:rsidRPr="00337A30">
        <w:rPr>
          <w:rFonts w:ascii="Courier" w:eastAsiaTheme="minorEastAsia" w:hAnsi="Courier" w:cs="Courier"/>
          <w:sz w:val="22"/>
          <w:szCs w:val="22"/>
        </w:rPr>
        <w:t>04.02.1952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През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1966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е призната компетентността на Съда в Страсбург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Въпреки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ранното приемане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шведските власти не обръща особено внимание на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Конвенцията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През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1991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е назначен Комитет по правата и свободите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който има за цел да установи дали Швеция трябва да инкорпорира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Конвенцията във вътрешното си законодателство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Комитетът изнася доклада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си през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1993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като препоръчва инкорпориране като най</w:t>
      </w:r>
      <w:r w:rsidRPr="00337A30">
        <w:rPr>
          <w:rFonts w:ascii="Courier" w:eastAsiaTheme="minorEastAsia" w:hAnsi="Courier" w:cs="Courier"/>
          <w:sz w:val="22"/>
          <w:szCs w:val="22"/>
        </w:rPr>
        <w:t>-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лесния вариант да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се накарат държавните органи и съдилищата да се съобразяват с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разпоредбите на Конвенцията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Като други причини се посочват членството в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ЕС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Европейската икономическа зона и ЕО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Решено е да не се дава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конституционен статус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а ранг на закон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Така на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05.05.1994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е приет Закон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за ЕКПЧ в сила от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01.01.1995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От тази дата Конвенцията става част от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вътрешното право на Швеция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Даден й е междинен ранг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–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по</w:t>
      </w:r>
      <w:r w:rsidRPr="00337A30">
        <w:rPr>
          <w:rFonts w:ascii="Courier" w:eastAsiaTheme="minorEastAsia" w:hAnsi="Courier" w:cs="Courier"/>
          <w:sz w:val="22"/>
          <w:szCs w:val="22"/>
        </w:rPr>
        <w:t>-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висок от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законите и след Конституцията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За съответствието на законите с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Конвенцията следи Законодателният съвет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В началото на </w:t>
      </w:r>
      <w:r w:rsidRPr="00337A30">
        <w:rPr>
          <w:rFonts w:ascii="Courier" w:eastAsiaTheme="minorEastAsia" w:hAnsi="Courier" w:cs="Courier"/>
          <w:sz w:val="22"/>
          <w:szCs w:val="22"/>
        </w:rPr>
        <w:t>70-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те години шведските съдилища вземат решение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според което Конвенцията и практиката на Съда в Страсбург не е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задължителна за тях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След като Европейският съд намира Швеция за пръв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път виновна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шведските висши съдилища започват постепенно да им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обръщат внимание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След средата на </w:t>
      </w:r>
      <w:r w:rsidRPr="00337A30">
        <w:rPr>
          <w:rFonts w:ascii="Courier" w:eastAsiaTheme="minorEastAsia" w:hAnsi="Courier" w:cs="Courier"/>
          <w:sz w:val="22"/>
          <w:szCs w:val="22"/>
        </w:rPr>
        <w:t>80-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те години можем да кажем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че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Конвенцията се превръща в трайна практика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Случаите са изключително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разнообразни</w:t>
      </w:r>
      <w:r w:rsidRPr="00337A30">
        <w:rPr>
          <w:rFonts w:ascii="Courier" w:eastAsiaTheme="minorEastAsia" w:hAnsi="Courier" w:cs="Courier"/>
          <w:sz w:val="22"/>
          <w:szCs w:val="22"/>
        </w:rPr>
        <w:t>: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 xml:space="preserve">•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в семейното право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–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правото на бащинство и местоживеенето на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децата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 xml:space="preserve">•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в наказателното право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– </w:t>
      </w:r>
      <w:r w:rsidRPr="00337A30">
        <w:rPr>
          <w:rFonts w:ascii="TimesNewRoman" w:eastAsiaTheme="minorEastAsia" w:hAnsi="TimesNewRoman" w:cs="TimesNewRoman"/>
          <w:sz w:val="20"/>
          <w:szCs w:val="20"/>
        </w:rPr>
        <w:t>__________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анонимност на свидетелите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екстрадиция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на заподозрени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използване на видеоматериали като доказателство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отвод на съдии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възобновяване на делата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 xml:space="preserve">•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в търговското право </w:t>
      </w:r>
      <w:r w:rsidRPr="00337A30">
        <w:rPr>
          <w:rFonts w:ascii="Courier" w:eastAsiaTheme="minorEastAsia" w:hAnsi="Courier" w:cs="Courier"/>
          <w:sz w:val="22"/>
          <w:szCs w:val="22"/>
        </w:rPr>
        <w:t>–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достъп до съдебен процес при ликвидация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 xml:space="preserve">•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в административното право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–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депортиране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затваряне в заведения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за психично болни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обжалване на административни актове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  <w:proofErr w:type="spellStart"/>
      <w:r w:rsidRPr="00337A30">
        <w:rPr>
          <w:rFonts w:ascii="TimesNewRoman" w:eastAsiaTheme="minorEastAsia" w:hAnsi="TimesNewRoman" w:cs="TimesNewRoman"/>
          <w:sz w:val="22"/>
          <w:szCs w:val="22"/>
        </w:rPr>
        <w:t>устност</w:t>
      </w:r>
      <w:proofErr w:type="spellEnd"/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на административния процес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>134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 xml:space="preserve">•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в гражданския процес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–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справедливост на процеса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отвод на съдии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 xml:space="preserve">•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в гражданското право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–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обжалването на съдебни решения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 xml:space="preserve">•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в трудовото право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–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отвод на съдии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свобода на сдружаването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достъп до съд при наличие на арбитражна клауза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Най</w:t>
      </w:r>
      <w:r w:rsidRPr="00337A30">
        <w:rPr>
          <w:rFonts w:ascii="Courier" w:eastAsiaTheme="minorEastAsia" w:hAnsi="Courier" w:cs="Courier"/>
          <w:sz w:val="22"/>
          <w:szCs w:val="22"/>
        </w:rPr>
        <w:t>-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голямата група жалби пред Съда в Страсбург е на основание чл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Courier" w:eastAsiaTheme="minorEastAsia" w:hAnsi="Courier" w:cs="Courier"/>
          <w:sz w:val="22"/>
          <w:szCs w:val="22"/>
        </w:rPr>
        <w:t>6/1/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от ЕКПЧ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Друга голяма група жалби са относно принципа на </w:t>
      </w:r>
      <w:proofErr w:type="spellStart"/>
      <w:r w:rsidRPr="00337A30">
        <w:rPr>
          <w:rFonts w:ascii="TimesNewRoman" w:eastAsiaTheme="minorEastAsia" w:hAnsi="TimesNewRoman" w:cs="TimesNewRoman"/>
          <w:sz w:val="22"/>
          <w:szCs w:val="22"/>
        </w:rPr>
        <w:t>устност</w:t>
      </w:r>
      <w:proofErr w:type="spellEnd"/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 в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наказателния и гражданския процес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Голям е броят и на жалбите по чл</w:t>
      </w:r>
      <w:r w:rsidRPr="00337A30">
        <w:rPr>
          <w:rFonts w:ascii="Courier" w:eastAsiaTheme="minorEastAsia" w:hAnsi="Courier" w:cs="Courier"/>
          <w:sz w:val="22"/>
          <w:szCs w:val="22"/>
        </w:rPr>
        <w:t>.8 –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право на личен и семеен живот </w:t>
      </w:r>
      <w:r w:rsidRPr="00337A30">
        <w:rPr>
          <w:rFonts w:ascii="Courier" w:eastAsiaTheme="minorEastAsia" w:hAnsi="Courier" w:cs="Courier"/>
          <w:sz w:val="22"/>
          <w:szCs w:val="22"/>
        </w:rPr>
        <w:t>/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най</w:t>
      </w:r>
      <w:r w:rsidRPr="00337A30">
        <w:rPr>
          <w:rFonts w:ascii="Courier" w:eastAsiaTheme="minorEastAsia" w:hAnsi="Courier" w:cs="Courier"/>
          <w:sz w:val="22"/>
          <w:szCs w:val="22"/>
        </w:rPr>
        <w:t>-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вече за попечителство над деца</w:t>
      </w:r>
      <w:r w:rsidRPr="00337A30">
        <w:rPr>
          <w:rFonts w:ascii="Courier" w:eastAsiaTheme="minorEastAsia" w:hAnsi="Courier" w:cs="Courier"/>
          <w:sz w:val="22"/>
          <w:szCs w:val="22"/>
        </w:rPr>
        <w:t>/.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lastRenderedPageBreak/>
        <w:t>Конвенцията сега е неразделна част от шведската правна система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Всички съдилища и други държавни органи я вземат предвид при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извършване на дейността си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Институтът на </w:t>
      </w:r>
      <w:proofErr w:type="spellStart"/>
      <w:r w:rsidRPr="00337A30">
        <w:rPr>
          <w:rFonts w:ascii="TimesNewRoman" w:eastAsiaTheme="minorEastAsia" w:hAnsi="TimesNewRoman" w:cs="TimesNewRoman"/>
          <w:sz w:val="22"/>
          <w:szCs w:val="22"/>
        </w:rPr>
        <w:t>Омбудсмана</w:t>
      </w:r>
      <w:proofErr w:type="spellEnd"/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 е въведена за първи път в Швеция </w:t>
      </w:r>
      <w:r w:rsidRPr="00337A30">
        <w:rPr>
          <w:rFonts w:ascii="Courier" w:eastAsiaTheme="minorEastAsia" w:hAnsi="Courier" w:cs="Courier"/>
          <w:sz w:val="22"/>
          <w:szCs w:val="22"/>
        </w:rPr>
        <w:t>/1713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./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от крал Карл </w:t>
      </w:r>
      <w:r w:rsidRPr="00337A30">
        <w:rPr>
          <w:rFonts w:ascii="Courier" w:eastAsiaTheme="minorEastAsia" w:hAnsi="Courier" w:cs="Courier"/>
          <w:sz w:val="22"/>
          <w:szCs w:val="22"/>
        </w:rPr>
        <w:t>XII.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През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1809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г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там е учреден и първият парламентарен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proofErr w:type="spellStart"/>
      <w:r w:rsidRPr="00337A30">
        <w:rPr>
          <w:rFonts w:ascii="TimesNewRoman" w:eastAsiaTheme="minorEastAsia" w:hAnsi="TimesNewRoman" w:cs="TimesNewRoman"/>
          <w:sz w:val="22"/>
          <w:szCs w:val="22"/>
        </w:rPr>
        <w:t>омбудсман</w:t>
      </w:r>
      <w:proofErr w:type="spellEnd"/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Тогава с термина </w:t>
      </w:r>
      <w:r w:rsidRPr="00337A30">
        <w:rPr>
          <w:rFonts w:ascii="Courier" w:eastAsiaTheme="minorEastAsia" w:hAnsi="Courier" w:cs="Courier"/>
          <w:sz w:val="22"/>
          <w:szCs w:val="22"/>
        </w:rPr>
        <w:t>“</w:t>
      </w:r>
      <w:proofErr w:type="spellStart"/>
      <w:r w:rsidRPr="00337A30">
        <w:rPr>
          <w:rFonts w:ascii="TimesNewRoman" w:eastAsiaTheme="minorEastAsia" w:hAnsi="TimesNewRoman" w:cs="TimesNewRoman"/>
          <w:sz w:val="22"/>
          <w:szCs w:val="22"/>
        </w:rPr>
        <w:t>омбудсман</w:t>
      </w:r>
      <w:proofErr w:type="spellEnd"/>
      <w:r w:rsidRPr="00337A30">
        <w:rPr>
          <w:rFonts w:ascii="Courier" w:eastAsiaTheme="minorEastAsia" w:hAnsi="Courier" w:cs="Courier"/>
          <w:sz w:val="22"/>
          <w:szCs w:val="22"/>
        </w:rPr>
        <w:t xml:space="preserve">”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се е означавал </w:t>
      </w:r>
      <w:r w:rsidRPr="00337A30">
        <w:rPr>
          <w:rFonts w:ascii="Courier" w:eastAsiaTheme="minorEastAsia" w:hAnsi="Courier" w:cs="Courier"/>
          <w:sz w:val="22"/>
          <w:szCs w:val="22"/>
        </w:rPr>
        <w:t>“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човек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който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пледира за другиго</w:t>
      </w:r>
      <w:r w:rsidRPr="00337A30">
        <w:rPr>
          <w:rFonts w:ascii="Courier" w:eastAsiaTheme="minorEastAsia" w:hAnsi="Courier" w:cs="Courier"/>
          <w:sz w:val="22"/>
          <w:szCs w:val="22"/>
        </w:rPr>
        <w:t>”.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В резултат на продължителното историческо развитие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proofErr w:type="spellStart"/>
      <w:r w:rsidRPr="00337A30">
        <w:rPr>
          <w:rFonts w:ascii="TimesNewRoman" w:eastAsiaTheme="minorEastAsia" w:hAnsi="TimesNewRoman" w:cs="TimesNewRoman"/>
          <w:sz w:val="22"/>
          <w:szCs w:val="22"/>
        </w:rPr>
        <w:t>Омбудсманът</w:t>
      </w:r>
      <w:proofErr w:type="spellEnd"/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 се превръща в орган за контрол върху действията на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държавните органи в сферата на изпълнителната власт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Конституционни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норми предвиждат учредяването на институцията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като посочват само най</w:t>
      </w:r>
      <w:r w:rsidRPr="00337A30">
        <w:rPr>
          <w:rFonts w:ascii="Courier" w:eastAsiaTheme="minorEastAsia" w:hAnsi="Courier" w:cs="Courier"/>
          <w:sz w:val="22"/>
          <w:szCs w:val="22"/>
        </w:rPr>
        <w:t>-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главните й характеристики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За разлика от другите европейски държави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тук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proofErr w:type="spellStart"/>
      <w:r w:rsidRPr="00337A30">
        <w:rPr>
          <w:rFonts w:ascii="TimesNewRoman" w:eastAsiaTheme="minorEastAsia" w:hAnsi="TimesNewRoman" w:cs="TimesNewRoman"/>
          <w:sz w:val="22"/>
          <w:szCs w:val="22"/>
        </w:rPr>
        <w:t>Омбудсманът</w:t>
      </w:r>
      <w:proofErr w:type="spellEnd"/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 има сравнително всеобхватни правомощия и много сфери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в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които може да упражнява надзор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: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например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може да проконтролира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дейността на съдилищата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както и военната държавна администрация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не се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прилагат ограничения спрямо лицата 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които могат да се жалват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.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По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отношение на правната уредба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;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избора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изискванията за заемане на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Courier" w:eastAsiaTheme="minorEastAsia" w:hAnsi="Courier" w:cs="Courier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длъжността и несъвместимостта с нея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останалите правомощия</w:t>
      </w:r>
      <w:r w:rsidRPr="00337A30">
        <w:rPr>
          <w:rFonts w:ascii="Courier" w:eastAsiaTheme="minorEastAsia" w:hAnsi="Courier" w:cs="Courier"/>
          <w:sz w:val="22"/>
          <w:szCs w:val="22"/>
        </w:rPr>
        <w:t>;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органите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 xml:space="preserve">попадащи в и извън сферата за надзор от </w:t>
      </w:r>
      <w:proofErr w:type="spellStart"/>
      <w:r w:rsidRPr="00337A30">
        <w:rPr>
          <w:rFonts w:ascii="TimesNewRoman" w:eastAsiaTheme="minorEastAsia" w:hAnsi="TimesNewRoman" w:cs="TimesNewRoman"/>
          <w:sz w:val="22"/>
          <w:szCs w:val="22"/>
        </w:rPr>
        <w:t>Омбудсмана</w:t>
      </w:r>
      <w:proofErr w:type="spellEnd"/>
      <w:r w:rsidRPr="00337A30">
        <w:rPr>
          <w:rFonts w:ascii="Courier" w:eastAsiaTheme="minorEastAsia" w:hAnsi="Courier" w:cs="Courier"/>
          <w:sz w:val="22"/>
          <w:szCs w:val="22"/>
        </w:rPr>
        <w:t>;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статуса</w:t>
      </w:r>
      <w:r w:rsidRPr="00337A30">
        <w:rPr>
          <w:rFonts w:ascii="Courier" w:eastAsiaTheme="minorEastAsia" w:hAnsi="Courier" w:cs="Courier"/>
          <w:sz w:val="22"/>
          <w:szCs w:val="22"/>
        </w:rPr>
        <w:t>,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службите и</w:t>
      </w:r>
    </w:p>
    <w:p w:rsidR="00337A30" w:rsidRPr="00337A30" w:rsidRDefault="00337A30" w:rsidP="00337A30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2"/>
          <w:szCs w:val="22"/>
        </w:rPr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ежегодните му доклади се отнася описанието</w:t>
      </w:r>
      <w:r w:rsidRPr="00337A30">
        <w:rPr>
          <w:rFonts w:ascii="Courier" w:eastAsiaTheme="minorEastAsia" w:hAnsi="Courier" w:cs="Courier"/>
          <w:sz w:val="22"/>
          <w:szCs w:val="22"/>
        </w:rPr>
        <w:t xml:space="preserve">, </w:t>
      </w:r>
      <w:r w:rsidRPr="00337A30">
        <w:rPr>
          <w:rFonts w:ascii="TimesNewRoman" w:eastAsiaTheme="minorEastAsia" w:hAnsi="TimesNewRoman" w:cs="TimesNewRoman"/>
          <w:sz w:val="22"/>
          <w:szCs w:val="22"/>
        </w:rPr>
        <w:t>подробно изложено в</w:t>
      </w:r>
    </w:p>
    <w:p w:rsidR="00862DFE" w:rsidRDefault="00337A30" w:rsidP="00337A30">
      <w:pPr>
        <w:ind w:left="-600" w:right="3" w:firstLine="480"/>
        <w:jc w:val="both"/>
      </w:pPr>
      <w:r w:rsidRPr="00337A30">
        <w:rPr>
          <w:rFonts w:ascii="TimesNewRoman" w:eastAsiaTheme="minorEastAsia" w:hAnsi="TimesNewRoman" w:cs="TimesNewRoman"/>
          <w:sz w:val="22"/>
          <w:szCs w:val="22"/>
        </w:rPr>
        <w:t>заглавната статия</w:t>
      </w:r>
      <w:r w:rsidRPr="00337A30">
        <w:rPr>
          <w:rFonts w:ascii="Courier" w:eastAsiaTheme="minorEastAsia" w:hAnsi="Courier" w:cs="Courier"/>
          <w:sz w:val="22"/>
          <w:szCs w:val="22"/>
        </w:rPr>
        <w:t>.</w:t>
      </w:r>
    </w:p>
    <w:p w:rsidR="00862DFE" w:rsidRDefault="00862DFE" w:rsidP="00862DFE">
      <w:pPr>
        <w:ind w:left="-600" w:right="3" w:firstLine="480"/>
        <w:jc w:val="both"/>
      </w:pPr>
    </w:p>
    <w:p w:rsidR="00862DFE" w:rsidRDefault="00862DFE" w:rsidP="00862DFE">
      <w:pPr>
        <w:ind w:left="-600" w:right="3" w:firstLine="480"/>
        <w:jc w:val="both"/>
      </w:pPr>
    </w:p>
    <w:p w:rsidR="00862DFE" w:rsidRDefault="00862DFE" w:rsidP="00862DFE">
      <w:pPr>
        <w:ind w:left="-600" w:right="3" w:firstLine="480"/>
        <w:jc w:val="both"/>
      </w:pPr>
    </w:p>
    <w:p w:rsidR="00607352" w:rsidRDefault="00607352"/>
    <w:sectPr w:rsidR="00607352" w:rsidSect="0060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93A5A"/>
    <w:multiLevelType w:val="hybridMultilevel"/>
    <w:tmpl w:val="952C66C4"/>
    <w:lvl w:ilvl="0" w:tplc="0409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DFE"/>
    <w:rsid w:val="00337A30"/>
    <w:rsid w:val="00607352"/>
    <w:rsid w:val="00862DFE"/>
    <w:rsid w:val="009C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2013-01-21T09:18:00Z</dcterms:created>
  <dcterms:modified xsi:type="dcterms:W3CDTF">2013-01-21T09:52:00Z</dcterms:modified>
</cp:coreProperties>
</file>